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 w:line="360" w:lineRule="auto"/>
        <w:jc w:val="center"/>
        <w:rPr>
          <w:rFonts w:ascii="Garamond" w:hAnsi="Garamond"/>
          <w:b w:val="1"/>
          <w:bCs w:val="1"/>
          <w:sz w:val="30"/>
          <w:szCs w:val="30"/>
          <w:u w:val="thick"/>
        </w:rPr>
      </w:pPr>
    </w:p>
    <w:p>
      <w:pPr>
        <w:pStyle w:val="Normal.0"/>
        <w:spacing w:before="240" w:line="240" w:lineRule="auto"/>
        <w:jc w:val="center"/>
        <w:rPr>
          <w:rFonts w:ascii="Garamond" w:cs="Garamond" w:hAnsi="Garamond" w:eastAsia="Garamond"/>
          <w:b w:val="1"/>
          <w:bCs w:val="1"/>
          <w:sz w:val="30"/>
          <w:szCs w:val="30"/>
          <w:u w:val="thick"/>
        </w:rPr>
      </w:pPr>
      <w:r>
        <w:rPr>
          <w:rFonts w:ascii="Garamond" w:hAnsi="Garamond"/>
          <w:b w:val="1"/>
          <w:bCs w:val="1"/>
          <w:sz w:val="30"/>
          <w:szCs w:val="30"/>
          <w:u w:val="thick"/>
          <w:rtl w:val="0"/>
          <w:lang w:val="it-IT"/>
        </w:rPr>
        <w:t>Programma Scuola Forense di Tracce Giuridiche</w:t>
      </w:r>
    </w:p>
    <w:p>
      <w:pPr>
        <w:pStyle w:val="Normal.0"/>
        <w:spacing w:before="240" w:line="240" w:lineRule="auto"/>
        <w:jc w:val="center"/>
        <w:rPr>
          <w:rFonts w:ascii="Garamond" w:cs="Garamond" w:hAnsi="Garamond" w:eastAsia="Garamond"/>
          <w:b w:val="1"/>
          <w:bCs w:val="1"/>
          <w:sz w:val="30"/>
          <w:szCs w:val="30"/>
          <w:u w:val="thick"/>
        </w:rPr>
      </w:pPr>
      <w:r>
        <w:rPr>
          <w:rFonts w:ascii="Garamond" w:hAnsi="Garamond"/>
          <w:b w:val="1"/>
          <w:bCs w:val="1"/>
          <w:sz w:val="30"/>
          <w:szCs w:val="30"/>
          <w:u w:val="thick"/>
          <w:rtl w:val="0"/>
          <w:lang w:val="it-IT"/>
        </w:rPr>
        <w:t>1</w:t>
      </w:r>
      <w:r>
        <w:rPr>
          <w:rFonts w:ascii="Garamond" w:hAnsi="Garamond" w:hint="default"/>
          <w:b w:val="1"/>
          <w:bCs w:val="1"/>
          <w:sz w:val="30"/>
          <w:szCs w:val="30"/>
          <w:u w:val="thick"/>
          <w:rtl w:val="0"/>
          <w:lang w:val="it-IT"/>
        </w:rPr>
        <w:t>°</w:t>
      </w:r>
      <w:r>
        <w:rPr>
          <w:rFonts w:ascii="Garamond" w:hAnsi="Garamond"/>
          <w:b w:val="1"/>
          <w:bCs w:val="1"/>
          <w:sz w:val="30"/>
          <w:szCs w:val="30"/>
          <w:u w:val="thick"/>
          <w:rtl w:val="0"/>
          <w:lang w:val="it-IT"/>
        </w:rPr>
        <w:t>, 2</w:t>
      </w:r>
      <w:r>
        <w:rPr>
          <w:rFonts w:ascii="Garamond" w:hAnsi="Garamond" w:hint="default"/>
          <w:b w:val="1"/>
          <w:bCs w:val="1"/>
          <w:sz w:val="30"/>
          <w:szCs w:val="30"/>
          <w:u w:val="thick"/>
          <w:rtl w:val="0"/>
          <w:lang w:val="it-IT"/>
        </w:rPr>
        <w:t>°</w:t>
      </w:r>
      <w:r>
        <w:rPr>
          <w:rFonts w:ascii="Garamond" w:hAnsi="Garamond"/>
          <w:b w:val="1"/>
          <w:bCs w:val="1"/>
          <w:sz w:val="30"/>
          <w:szCs w:val="30"/>
          <w:u w:val="thick"/>
          <w:rtl w:val="0"/>
          <w:lang w:val="it-IT"/>
        </w:rPr>
        <w:t>, 3</w:t>
      </w:r>
      <w:r>
        <w:rPr>
          <w:rFonts w:ascii="Garamond" w:hAnsi="Garamond" w:hint="default"/>
          <w:b w:val="1"/>
          <w:bCs w:val="1"/>
          <w:sz w:val="30"/>
          <w:szCs w:val="30"/>
          <w:u w:val="thick"/>
          <w:rtl w:val="0"/>
          <w:lang w:val="it-IT"/>
        </w:rPr>
        <w:t xml:space="preserve">° </w:t>
      </w:r>
      <w:r>
        <w:rPr>
          <w:rFonts w:ascii="Garamond" w:hAnsi="Garamond"/>
          <w:b w:val="1"/>
          <w:bCs w:val="1"/>
          <w:sz w:val="30"/>
          <w:szCs w:val="30"/>
          <w:u w:val="thick"/>
          <w:rtl w:val="0"/>
          <w:lang w:val="it-IT"/>
        </w:rPr>
        <w:t>Semestre</w:t>
      </w: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CIVILE E PROCEDURA CIVILE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Civile,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cenni su: propriet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e diritti reali di godimento; il possesso e detenzione; usucapione e tutela del possesso; il condominio e la comunione; il rapporto obbligatorio: elementi, modificazione, e i modi di estinzione dell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obbligazione, 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inadempimento; il contratto in generale (vizi della volont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à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, forma, rappresentanza, contratto preliminare, oggetto causa, interpretazione, effetti, elementi accidentali, simulazione, invalidit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e inefficacia, rescissione e risoluzione); contratti tipici e atipici, la responsabilit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extracontrattuale; la famiglia, il matrimonio; donazioni e successioni.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Procedura civile,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 competenza e giurisdizione, negoziazione assistita e mediazione;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processo ordinario di cognizione, processo del lavoro, procedimenti in materia di famiglia, procedimenti di interdizione inabilitazione e amministrazione di sostegno, procedimento di ingiunzione, procedimento per convalida di sfratto, processo di esecuzione.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240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DIRITTO PENALE, PROCEDURA PENALE, DIRITTO PENITENZIARIO E GIUDIZIARIO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Penale,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cenni su: struttura del reato, azione, evento e nesso causale, 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antigiuridicit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e le cause oggettive di esclusione del reato, la colpevolezza, il delitto colposo e doloso commissivo, la preterintenzione, il reato omissivo, le cause soggettive di esclusione del reato, il tentativo, il reato putativo, impossibile e aberrante, le circostanze del reato, il concorso di persone, il concorso di reati e reato continuato, la pena e le forme di pericolosit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criminale, i (vari) delitti e le contravvenzioni;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Procedura penale,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modelli di processo: accusatorio, inquisitorio, misto. L'art. 111 Cost. e il "giusto processo", i soggetti del processo, gli atti processuali penali, la disciplina delle prove,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le misure cautelari, la fase delle indagini preliminari e le scelte del pubblico ministero in ordine all'esercizio dell'azione penale, l'udienza preliminare, i procedimenti speciali e il procedimento di fronte al tribunale in composizione monocratica, il giudizio di primo grado, le impugnazioni.</w:t>
      </w: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  <w:bookmarkStart w:name="_Hlk108631975" w:id="0"/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AMMINISTRATIVO </w:t>
      </w:r>
      <w:bookmarkEnd w:id="0"/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Diritto amministrativo e processuale amm.,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cenni su: </w:t>
      </w:r>
      <w:bookmarkStart w:name="_Hlk124775753" w:id="1"/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il diritto amministrativo: situazioni giuridiche soggettive e interessi legittimi, il processo amministrativo.</w:t>
      </w:r>
      <w:bookmarkEnd w:id="1"/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COMMERCIALE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commerciale,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imprenditore e 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impresa, 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azienda, le societ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di persone, societ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cooperative, societ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di capitali, procedure concorsuali.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TRIBUTARIO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tributario,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disciplina generale e processo tributario.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24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DEL LAVORO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Diritto del lavoro,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rapporto di lavoro subordinato e tipologie contrattuali (a termine, part-time, somministrazione); la costituzione del rapporto di lavoro, 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orario di lavoro, potere di controllo e disciplinare, la retribuzione, dimissioni e licenziamento; rapporto di lavoro autonomo, parasubordinato, tutela dei diritti dei lavoratori (impugnazione licenziamenti, transazioni ecc.)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INTERNAZIONALE PRIVATO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Dip,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 nozione di diritto internazionale privato, fonti del dip, funzionamento, struttura delle norme di dip, L. 218/1995.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DIRITTO ECCLESIASTICO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Diritto ecclesiastico,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il diritto ecclesiastico, i principi costituzionali nell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ambito del diritto ecclesiastico, stato delle citt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à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del vaticano, il matrimonio, la giurisdizione ecclesiastica sui matrimoni canonici, il fenomeno religioso e le problematiche attuali (obiezione di coscienza e interruzione volontaria di gravidanza e sperimentazione animale, trattamenti di fine vita, PMA, unioni tra persone dello stesso sesso, rifiuto delle emotrasfusioni).</w:t>
      </w: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DIRITTO dell</w:t>
      </w:r>
      <w:r>
        <w:rPr>
          <w:rFonts w:ascii="Garamond" w:hAnsi="Garamond" w:hint="default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UE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Diritto dell</w:t>
      </w:r>
      <w:r>
        <w:rPr>
          <w:rFonts w:ascii="Garamond" w:hAnsi="Garamond" w:hint="default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U.E.,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 funzionamento dell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UE (assetto istituzionale e procedure decisionali, 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 rapporti con gli ordinamenti nazionali: 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incidenza del diritto dell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UE, il sistema di tutela giurisdizionale dell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UE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DEONTOLOGIA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Deontologia,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 ordinamento forense in generale, tenuta degli albi, formazione ed esami, codice deontologico e procedimento disciplinare.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240"/>
        <w:ind w:left="426" w:right="56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PREVIDENZA FORENSE E PROFILI CONTRIBUTIVI E TRIBUTARI DELLA PROFESSIONE FORENSE 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Previdenza forense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rtl w:val="0"/>
          <w:lang w:val="it-IT"/>
        </w:rPr>
        <w:t>modello previdenziale della Cassa Forense - iscrizione alla cassa, contribuzione, sistema sanzionatorio, fiscalit</w:t>
      </w:r>
      <w:r>
        <w:rPr>
          <w:rFonts w:ascii="Garamond" w:hAnsi="Garamond" w:hint="default"/>
          <w:rtl w:val="0"/>
          <w:lang w:val="it-IT"/>
        </w:rPr>
        <w:t xml:space="preserve">à </w:t>
      </w:r>
      <w:r>
        <w:rPr>
          <w:rFonts w:ascii="Garamond" w:hAnsi="Garamond"/>
          <w:rtl w:val="0"/>
          <w:lang w:val="it-IT"/>
        </w:rPr>
        <w:t>degli avvocati.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</w:rPr>
      </w:pPr>
    </w:p>
    <w:p>
      <w:pPr>
        <w:pStyle w:val="Normal.0"/>
        <w:spacing w:line="360" w:lineRule="auto"/>
        <w:ind w:left="42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sz w:val="24"/>
          <w:szCs w:val="2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sz w:val="24"/>
          <w:szCs w:val="2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ORGANIZZAZIONE E AMMINISTRAZIONE DELLO STUDIO PROFESSIONALE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Cenni su:</w:t>
      </w:r>
      <w:r>
        <w:rPr>
          <w:rFonts w:ascii="Garamond" w:hAnsi="Garamond"/>
          <w:b w:val="1"/>
          <w:bCs w:val="1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struttura, dipendenti, fornitori, contabilit</w:t>
      </w:r>
      <w:r>
        <w:rPr>
          <w:rFonts w:ascii="Garamond" w:hAnsi="Garamond" w:hint="default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à</w:t>
      </w:r>
      <w:r>
        <w:rPr>
          <w:rFonts w:ascii="Garamond" w:hAnsi="Garamond"/>
          <w:outline w:val="0"/>
          <w:color w:val="44444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, privacy, sicurezza, gestione dei processi, gestione del tempo, gestione delle risorse umane.</w:t>
      </w: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spacing w:before="0" w:after="0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.0"/>
        <w:spacing w:line="240" w:lineRule="auto"/>
        <w:ind w:left="426" w:firstLine="0"/>
        <w:jc w:val="both"/>
        <w:rPr>
          <w:rFonts w:ascii="Garamond" w:cs="Garamond" w:hAnsi="Garamond" w:eastAsia="Garamond"/>
          <w:b w:val="1"/>
          <w:bCs w:val="1"/>
          <w:outline w:val="0"/>
          <w:color w:val="444444"/>
          <w:sz w:val="24"/>
          <w:szCs w:val="24"/>
          <w:u w:val="single" w:color="444444"/>
          <w14:textFill>
            <w14:solidFill>
              <w14:srgbClr w14:val="444444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444444"/>
          <w:sz w:val="24"/>
          <w:szCs w:val="2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TECNICHE DI RICERCA ANCHE TELEMATICA DELLE FONTI E DEL PRECEDENTE GIURISPRUDENZIALE </w:t>
      </w:r>
    </w:p>
    <w:p>
      <w:pPr>
        <w:pStyle w:val="Normal.0"/>
        <w:spacing w:after="0" w:line="240" w:lineRule="auto"/>
        <w:ind w:left="426" w:firstLine="0"/>
        <w:jc w:val="both"/>
        <w:rPr>
          <w:rFonts w:ascii="Garamond" w:cs="Garamond" w:hAnsi="Garamond" w:eastAsia="Garamond"/>
          <w:sz w:val="24"/>
          <w:szCs w:val="24"/>
        </w:rPr>
      </w:pPr>
      <w:r>
        <w:rPr>
          <w:rFonts w:ascii="Garamond" w:hAnsi="Garamond"/>
          <w:sz w:val="24"/>
          <w:szCs w:val="24"/>
          <w:rtl w:val="0"/>
          <w:lang w:val="it-IT"/>
        </w:rPr>
        <w:t>Laboratorio pratico per l</w:t>
      </w:r>
      <w:r>
        <w:rPr>
          <w:rFonts w:ascii="Garamond" w:hAnsi="Garamond" w:hint="default"/>
          <w:sz w:val="24"/>
          <w:szCs w:val="24"/>
          <w:rtl w:val="0"/>
          <w:lang w:val="it-IT"/>
        </w:rPr>
        <w:t>’</w:t>
      </w:r>
      <w:r>
        <w:rPr>
          <w:rFonts w:ascii="Garamond" w:hAnsi="Garamond"/>
          <w:sz w:val="24"/>
          <w:szCs w:val="24"/>
          <w:rtl w:val="0"/>
          <w:lang w:val="it-IT"/>
        </w:rPr>
        <w:t>utilizzo dei codici commentati, delle riviste, delle banche dati.</w:t>
      </w:r>
    </w:p>
    <w:p>
      <w:pPr>
        <w:pStyle w:val="Normal.0"/>
        <w:spacing w:after="0" w:line="240" w:lineRule="auto"/>
        <w:ind w:left="426" w:firstLine="0"/>
        <w:jc w:val="both"/>
        <w:rPr>
          <w:rFonts w:ascii="Garamond" w:cs="Garamond" w:hAnsi="Garamond" w:eastAsia="Garamond"/>
          <w:sz w:val="24"/>
          <w:szCs w:val="24"/>
        </w:rPr>
      </w:pPr>
    </w:p>
    <w:p>
      <w:pPr>
        <w:pStyle w:val="Normal.0"/>
        <w:spacing w:line="276" w:lineRule="auto"/>
        <w:ind w:left="426" w:firstLine="0"/>
        <w:jc w:val="both"/>
        <w:rPr>
          <w:rFonts w:ascii="Garamond" w:cs="Garamond" w:hAnsi="Garamond" w:eastAsia="Garamond"/>
          <w:b w:val="1"/>
          <w:bCs w:val="1"/>
          <w:sz w:val="24"/>
          <w:szCs w:val="24"/>
        </w:rPr>
      </w:pPr>
      <w:r>
        <w:rPr>
          <w:rFonts w:ascii="Garamond" w:hAnsi="Garamond"/>
          <w:b w:val="1"/>
          <w:bCs w:val="1"/>
          <w:outline w:val="0"/>
          <w:color w:val="444444"/>
          <w:sz w:val="24"/>
          <w:szCs w:val="2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TECNICA DI REDAZIONE DEGLI ATTI GIUDIZIARI E DEI PARERI STRAGIUDIZIALI NELLE VARIE MATERIE DEL DIRITTO SOSTANZIALE E PROCESSUALE, TEORIA E PRATICA DEL LINGUAGGIO GIURIDICO E ARGOMENTAZIONE FORENSE</w:t>
      </w:r>
      <w:r>
        <w:rPr>
          <w:rFonts w:ascii="Garamond" w:hAnsi="Garamond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ind w:left="426" w:firstLine="0"/>
        <w:jc w:val="both"/>
        <w:rPr>
          <w:rFonts w:ascii="Garamond" w:cs="Garamond" w:hAnsi="Garamond" w:eastAsia="Garamond"/>
          <w:sz w:val="24"/>
          <w:szCs w:val="24"/>
        </w:rPr>
      </w:pPr>
      <w:r>
        <w:rPr>
          <w:rFonts w:ascii="Garamond" w:hAnsi="Garamond"/>
          <w:sz w:val="24"/>
          <w:szCs w:val="24"/>
          <w:rtl w:val="0"/>
          <w:lang w:val="it-IT"/>
        </w:rPr>
        <w:t>Laboratorio atti e pareri e disamina protocolli buone prassi, simulazioni processuali (penale e civile)</w:t>
      </w:r>
      <w:r>
        <w:rPr>
          <w:rFonts w:ascii="Garamond" w:hAnsi="Garamond"/>
          <w:b w:val="1"/>
          <w:bCs w:val="1"/>
          <w:outline w:val="0"/>
          <w:color w:val="444444"/>
          <w:sz w:val="24"/>
          <w:szCs w:val="24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.</w:t>
      </w:r>
      <w:r>
        <w:rPr>
          <w:rFonts w:ascii="Garamond" w:hAnsi="Garamond"/>
          <w:sz w:val="24"/>
          <w:szCs w:val="24"/>
          <w:rtl w:val="0"/>
          <w:lang w:val="it-IT"/>
        </w:rPr>
        <w:t xml:space="preserve"> </w:t>
      </w:r>
    </w:p>
    <w:p>
      <w:pPr>
        <w:pStyle w:val="Normal (Web)"/>
        <w:shd w:val="clear" w:color="auto" w:fill="ffffff"/>
        <w:spacing w:before="0" w:after="0" w:line="360" w:lineRule="auto"/>
        <w:ind w:left="426" w:right="566" w:firstLine="0"/>
        <w:jc w:val="both"/>
        <w:rPr>
          <w:rFonts w:ascii="Garamond" w:cs="Garamond" w:hAnsi="Garamond" w:eastAsia="Garamond"/>
          <w:outline w:val="0"/>
          <w:color w:val="444444"/>
          <w:u w:val="single" w:color="444444"/>
          <w14:textFill>
            <w14:solidFill>
              <w14:srgbClr w14:val="444444"/>
            </w14:solidFill>
          </w14:textFill>
        </w:rPr>
      </w:pPr>
    </w:p>
    <w:p>
      <w:pPr>
        <w:pStyle w:val="Normal (Web)"/>
        <w:shd w:val="clear" w:color="auto" w:fill="ffffff"/>
        <w:tabs>
          <w:tab w:val="left" w:pos="9072"/>
        </w:tabs>
        <w:spacing w:before="0" w:after="0" w:line="360" w:lineRule="auto"/>
        <w:ind w:right="566"/>
        <w:jc w:val="both"/>
      </w:pPr>
      <w:r>
        <w:rPr>
          <w:rFonts w:ascii="Garamond" w:hAnsi="Garamond"/>
          <w:outline w:val="0"/>
          <w:color w:val="444444"/>
          <w:sz w:val="14"/>
          <w:szCs w:val="1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IL PROGRAMMA POTREBBE SUBIRE VARIAZIONI/INVERSIONE DELL</w:t>
      </w:r>
      <w:r>
        <w:rPr>
          <w:rFonts w:ascii="Garamond" w:hAnsi="Garamond" w:hint="default"/>
          <w:outline w:val="0"/>
          <w:color w:val="444444"/>
          <w:sz w:val="14"/>
          <w:szCs w:val="1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>’</w:t>
      </w:r>
      <w:r>
        <w:rPr>
          <w:rFonts w:ascii="Garamond" w:hAnsi="Garamond"/>
          <w:outline w:val="0"/>
          <w:color w:val="444444"/>
          <w:sz w:val="14"/>
          <w:szCs w:val="14"/>
          <w:u w:val="single"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ORDINE DEGLI ARGOMANETI PER RAGIONI DIDATTICHE E/O ORGANIZZATIVE. </w:t>
      </w:r>
    </w:p>
    <w:sectPr>
      <w:headerReference w:type="default" r:id="rId4"/>
      <w:footerReference w:type="default" r:id="rId5"/>
      <w:pgSz w:w="11900" w:h="16840" w:orient="portrait"/>
      <w:pgMar w:top="1417" w:right="849" w:bottom="1134" w:left="85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3557269</wp:posOffset>
          </wp:positionH>
          <wp:positionV relativeFrom="page">
            <wp:posOffset>162560</wp:posOffset>
          </wp:positionV>
          <wp:extent cx="874395" cy="874395"/>
          <wp:effectExtent l="0" t="0" r="0" b="0"/>
          <wp:wrapNone/>
          <wp:docPr id="1073741825" name="officeArt object" descr="L'immagine puÃ² contenere: tes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'immagine puÃ² contenere: testo" descr="L'immagine puÃ² contenere: testo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395" cy="8743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3287160</wp:posOffset>
              </wp:positionH>
              <wp:positionV relativeFrom="page">
                <wp:posOffset>10274215</wp:posOffset>
              </wp:positionV>
              <wp:extent cx="392688" cy="334544"/>
              <wp:effectExtent l="0" t="0" r="0" b="0"/>
              <wp:wrapNone/>
              <wp:docPr id="1073741828" name="officeArt object" descr="Oval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688" cy="334544"/>
                        <a:chOff x="0" y="0"/>
                        <a:chExt cx="392687" cy="334543"/>
                      </a:xfrm>
                    </wpg:grpSpPr>
                    <wps:wsp>
                      <wps:cNvPr id="1073741826" name="Ovale"/>
                      <wps:cNvSpPr/>
                      <wps:spPr>
                        <a:xfrm>
                          <a:off x="0" y="0"/>
                          <a:ext cx="392688" cy="334544"/>
                        </a:xfrm>
                        <a:prstGeom prst="ellipse">
                          <a:avLst/>
                        </a:prstGeom>
                        <a:solidFill>
                          <a:srgbClr val="40618B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Rettangolo"/>
                      <wps:cNvSpPr txBox="1"/>
                      <wps:spPr>
                        <a:xfrm>
                          <a:off x="103227" y="48993"/>
                          <a:ext cx="186233" cy="23655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ooter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fldChar w:fldCharType="begin" w:fldLock="0"/>
                            </w: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instrText xml:space="preserve"> PAGE </w:instrText>
                            </w: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fldChar w:fldCharType="separate" w:fldLock="0"/>
                            </w: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fldChar w:fldCharType="end" w:fldLock="0"/>
                            </w:r>
                          </w:p>
                        </w:txbxContent>
                      </wps:txbx>
                      <wps:bodyPr wrap="square" lIns="45719" tIns="45719" rIns="45719" bIns="45719" numCol="1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258.8pt;margin-top:809.0pt;width:30.9pt;height:26.3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392688,334544">
              <w10:wrap type="none" side="bothSides" anchorx="page" anchory="page"/>
              <v:oval id="_x0000_s1027" style="position:absolute;left:0;top:0;width:392688;height:334544;">
                <v:fill color="#40618B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oval>
              <v:shape id="_x0000_s1028" type="#_x0000_t202" style="position:absolute;left:103228;top:48993;width:186231;height:236558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ooter"/>
                        <w:jc w:val="center"/>
                      </w:pPr>
                      <w:r>
                        <w:rPr>
                          <w:sz w:val="24"/>
                          <w:szCs w:val="24"/>
                          <w:rtl w:val="0"/>
                        </w:rPr>
                        <w:fldChar w:fldCharType="begin" w:fldLock="0"/>
                      </w:r>
                      <w:r>
                        <w:rPr>
                          <w:sz w:val="24"/>
                          <w:szCs w:val="24"/>
                          <w:rtl w:val="0"/>
                        </w:rPr>
                        <w:instrText xml:space="preserve"> PAGE </w:instrText>
                      </w:r>
                      <w:r>
                        <w:rPr>
                          <w:sz w:val="24"/>
                          <w:szCs w:val="24"/>
                          <w:rtl w:val="0"/>
                        </w:rPr>
                        <w:fldChar w:fldCharType="separate" w:fldLock="0"/>
                      </w:r>
                      <w:r>
                        <w:rPr>
                          <w:sz w:val="24"/>
                          <w:szCs w:val="24"/>
                          <w:rtl w:val="0"/>
                        </w:rPr>
                        <w:t>1</w:t>
                      </w:r>
                      <w:r>
                        <w:rPr>
                          <w:sz w:val="24"/>
                          <w:szCs w:val="24"/>
                          <w:rtl w:val="0"/>
                        </w:rPr>
                        <w:fldChar w:fldCharType="end" w:fldLock="0"/>
                      </w:r>
                    </w:p>
                  </w:txbxContent>
                </v:textbox>
              </v:shape>
            </v:group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